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6C6B4709"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22020C">
        <w:rPr>
          <w:b/>
          <w:i/>
          <w:noProof/>
          <w:sz w:val="28"/>
        </w:rPr>
        <w:t>1364</w:t>
      </w:r>
      <w:bookmarkStart w:id="0" w:name="_GoBack"/>
      <w:bookmarkEnd w:id="0"/>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6D5E471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2425A">
        <w:rPr>
          <w:rFonts w:ascii="Arial" w:hAnsi="Arial" w:cs="Arial"/>
          <w:b/>
        </w:rPr>
        <w:t>DP on the NRM Design for AIMLInferenceFunction</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7546807F" w14:textId="3E34078C" w:rsidR="007460CA" w:rsidRPr="00D1696B" w:rsidRDefault="007460CA" w:rsidP="007460CA">
      <w:pPr>
        <w:pStyle w:val="2"/>
        <w:ind w:left="851" w:hanging="851"/>
      </w:pPr>
      <w:r w:rsidRPr="00D1696B">
        <w:t>3.1</w:t>
      </w:r>
      <w:r w:rsidRPr="00506640">
        <w:tab/>
      </w:r>
      <w:r>
        <w:t>AIMLInferenceFunction IOC</w:t>
      </w:r>
    </w:p>
    <w:p w14:paraId="2CBC7888" w14:textId="0BB72E9B" w:rsidR="007460CA" w:rsidRDefault="007460CA" w:rsidP="007460CA">
      <w:pPr>
        <w:jc w:val="both"/>
      </w:pPr>
      <w:r>
        <w:t xml:space="preserve">The AIMLInferenceFunction IOC is designed and agreed at end of Rel-18 in a rush time, which leaves a lot of issues needed to be </w:t>
      </w:r>
      <w:r w:rsidR="003E7EA3">
        <w:t>solved</w:t>
      </w:r>
      <w:r>
        <w:rPr>
          <w:lang w:val="en-US"/>
        </w:rPr>
        <w:t xml:space="preserve">. In TS 28.105 v19.2.0, the </w:t>
      </w:r>
      <w:r>
        <w:t>AIMLInferenceFunction IOC includes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609"/>
        <w:gridCol w:w="1309"/>
        <w:gridCol w:w="1373"/>
        <w:gridCol w:w="1259"/>
        <w:gridCol w:w="1379"/>
      </w:tblGrid>
      <w:tr w:rsidR="007460CA" w14:paraId="4794A279"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E235BA" w14:textId="77777777" w:rsidR="007460CA" w:rsidRDefault="007460CA">
            <w:pPr>
              <w:pStyle w:val="TAH"/>
              <w:spacing w:line="264" w:lineRule="auto"/>
              <w:ind w:right="142"/>
            </w:pPr>
            <w:r>
              <w:t>Attribute name</w:t>
            </w:r>
          </w:p>
        </w:tc>
        <w:tc>
          <w:tcPr>
            <w:tcW w:w="16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33D95D" w14:textId="77777777" w:rsidR="007460CA" w:rsidRDefault="007460CA">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26B8DA" w14:textId="77777777" w:rsidR="007460CA" w:rsidRDefault="007460CA">
            <w:pPr>
              <w:pStyle w:val="TAH"/>
              <w:spacing w:line="264" w:lineRule="auto"/>
              <w:ind w:right="142"/>
            </w:pPr>
            <w:r>
              <w:t>isReadable</w:t>
            </w:r>
          </w:p>
        </w:tc>
        <w:tc>
          <w:tcPr>
            <w:tcW w:w="13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8E4489" w14:textId="77777777" w:rsidR="007460CA" w:rsidRDefault="007460CA">
            <w:pPr>
              <w:pStyle w:val="TAH"/>
              <w:spacing w:line="264" w:lineRule="auto"/>
              <w:ind w:right="142"/>
            </w:pPr>
            <w:r>
              <w:t>isWritable</w:t>
            </w:r>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EE7FE3B" w14:textId="77777777" w:rsidR="007460CA" w:rsidRDefault="007460CA">
            <w:pPr>
              <w:pStyle w:val="TAH"/>
              <w:spacing w:line="264" w:lineRule="auto"/>
              <w:ind w:right="142"/>
            </w:pPr>
            <w:r>
              <w:rPr>
                <w:rFonts w:cs="Arial"/>
                <w:bCs/>
                <w:szCs w:val="18"/>
              </w:rPr>
              <w:t>isInvariant</w:t>
            </w:r>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10FBB2" w14:textId="77777777" w:rsidR="007460CA" w:rsidRDefault="007460CA">
            <w:pPr>
              <w:pStyle w:val="TAH"/>
              <w:spacing w:line="264" w:lineRule="auto"/>
              <w:ind w:right="142"/>
            </w:pPr>
            <w:r>
              <w:t>isNotifyable</w:t>
            </w:r>
          </w:p>
        </w:tc>
      </w:tr>
      <w:tr w:rsidR="007460CA" w14:paraId="0D184D86"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29C863" w14:textId="77777777" w:rsidR="007460CA" w:rsidRDefault="007460CA">
            <w:pPr>
              <w:pStyle w:val="TAL"/>
              <w:rPr>
                <w:rFonts w:ascii="Courier New" w:hAnsi="Courier New" w:cs="Courier New"/>
              </w:rPr>
            </w:pPr>
            <w:r>
              <w:rPr>
                <w:rFonts w:ascii="Courier New" w:hAnsi="Courier New" w:cs="Courier New"/>
                <w:lang w:eastAsia="zh-CN"/>
              </w:rPr>
              <w:t>activationStatus</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F93BEE" w14:textId="77777777" w:rsidR="007460CA" w:rsidRDefault="007460CA">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CFB9E" w14:textId="77777777" w:rsidR="007460CA" w:rsidRDefault="007460CA">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DB44A" w14:textId="77777777" w:rsidR="007460CA" w:rsidRPr="00DE2C00" w:rsidRDefault="007460CA">
            <w:pPr>
              <w:pStyle w:val="TAL"/>
              <w:jc w:val="center"/>
              <w:rPr>
                <w:highlight w:val="yellow"/>
              </w:rPr>
            </w:pPr>
            <w:r w:rsidRPr="00DE2C00">
              <w:rPr>
                <w:highlight w:val="yellow"/>
              </w:rP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8A5732" w14:textId="77777777" w:rsidR="007460CA" w:rsidRDefault="007460C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3FEA9C" w14:textId="77777777" w:rsidR="007460CA" w:rsidRDefault="007460CA">
            <w:pPr>
              <w:pStyle w:val="TAL"/>
              <w:jc w:val="center"/>
              <w:rPr>
                <w:lang w:eastAsia="zh-CN"/>
              </w:rPr>
            </w:pPr>
            <w:r>
              <w:t>T</w:t>
            </w:r>
          </w:p>
        </w:tc>
      </w:tr>
      <w:tr w:rsidR="007460CA" w14:paraId="39B765F2"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62C20D" w14:textId="77777777" w:rsidR="007460CA" w:rsidRDefault="007460CA">
            <w:pPr>
              <w:pStyle w:val="TAL"/>
              <w:rPr>
                <w:rFonts w:ascii="Courier New" w:hAnsi="Courier New" w:cs="Courier New"/>
                <w:lang w:eastAsia="zh-CN"/>
              </w:rPr>
            </w:pPr>
            <w:r>
              <w:rPr>
                <w:rFonts w:ascii="Courier New" w:hAnsi="Courier New" w:cs="Courier New"/>
                <w:lang w:eastAsia="zh-CN"/>
              </w:rPr>
              <w:t>managedActivationScope</w:t>
            </w:r>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B6BA6" w14:textId="77777777" w:rsidR="007460CA" w:rsidRDefault="007460CA">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1DB41E" w14:textId="77777777" w:rsidR="007460CA" w:rsidRDefault="007460CA">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93C3A2" w14:textId="77777777" w:rsidR="007460CA" w:rsidRPr="00DE2C00" w:rsidRDefault="007460CA">
            <w:pPr>
              <w:pStyle w:val="TAL"/>
              <w:jc w:val="center"/>
              <w:rPr>
                <w:highlight w:val="yellow"/>
              </w:rPr>
            </w:pPr>
            <w:r w:rsidRPr="00DE2C00">
              <w:rPr>
                <w:highlight w:val="yellow"/>
              </w:rP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4E46F" w14:textId="77777777" w:rsidR="007460CA" w:rsidRDefault="007460CA">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C5436" w14:textId="77777777" w:rsidR="007460CA" w:rsidRDefault="007460CA">
            <w:pPr>
              <w:pStyle w:val="TAL"/>
              <w:jc w:val="center"/>
            </w:pPr>
            <w:r>
              <w:rPr>
                <w:lang w:eastAsia="zh-CN"/>
              </w:rPr>
              <w:t>T</w:t>
            </w:r>
          </w:p>
        </w:tc>
      </w:tr>
      <w:tr w:rsidR="007460CA" w14:paraId="790F17EB"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4BCED5F2" w14:textId="77777777" w:rsidR="007460CA" w:rsidRDefault="007460CA">
            <w:pPr>
              <w:pStyle w:val="TAL"/>
              <w:spacing w:line="264" w:lineRule="auto"/>
              <w:ind w:right="142"/>
              <w:rPr>
                <w:rFonts w:ascii="Courier New" w:hAnsi="Courier New" w:cs="Courier New"/>
                <w:b/>
                <w:bCs/>
              </w:rPr>
            </w:pPr>
            <w:r>
              <w:rPr>
                <w:rFonts w:ascii="Times New Roman" w:eastAsia="Courier New" w:hAnsi="Times New Roman"/>
                <w:b/>
                <w:bCs/>
                <w:sz w:val="20"/>
              </w:rPr>
              <w:t>Attributes related to role</w:t>
            </w:r>
          </w:p>
        </w:tc>
        <w:tc>
          <w:tcPr>
            <w:tcW w:w="1609" w:type="dxa"/>
            <w:tcBorders>
              <w:top w:val="single" w:sz="4" w:space="0" w:color="auto"/>
              <w:left w:val="single" w:sz="4" w:space="0" w:color="auto"/>
              <w:bottom w:val="single" w:sz="4" w:space="0" w:color="auto"/>
              <w:right w:val="single" w:sz="4" w:space="0" w:color="auto"/>
            </w:tcBorders>
          </w:tcPr>
          <w:p w14:paraId="58F2875E" w14:textId="77777777" w:rsidR="007460CA" w:rsidRDefault="007460CA">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6B4014E9" w14:textId="77777777" w:rsidR="007460CA" w:rsidRDefault="007460CA">
            <w:pPr>
              <w:pStyle w:val="TAL"/>
              <w:spacing w:line="264" w:lineRule="auto"/>
              <w:ind w:right="142"/>
              <w:jc w:val="center"/>
            </w:pPr>
          </w:p>
        </w:tc>
        <w:tc>
          <w:tcPr>
            <w:tcW w:w="1373" w:type="dxa"/>
            <w:tcBorders>
              <w:top w:val="single" w:sz="4" w:space="0" w:color="auto"/>
              <w:left w:val="single" w:sz="4" w:space="0" w:color="auto"/>
              <w:bottom w:val="single" w:sz="4" w:space="0" w:color="auto"/>
              <w:right w:val="single" w:sz="4" w:space="0" w:color="auto"/>
            </w:tcBorders>
          </w:tcPr>
          <w:p w14:paraId="146F20D7" w14:textId="77777777" w:rsidR="007460CA" w:rsidRDefault="007460CA">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tcPr>
          <w:p w14:paraId="064B84B1" w14:textId="77777777" w:rsidR="007460CA" w:rsidRDefault="007460CA">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tcPr>
          <w:p w14:paraId="1A2E30B4" w14:textId="77777777" w:rsidR="007460CA" w:rsidRDefault="007460CA">
            <w:pPr>
              <w:pStyle w:val="TAL"/>
              <w:spacing w:line="264" w:lineRule="auto"/>
              <w:ind w:right="142"/>
              <w:jc w:val="center"/>
            </w:pPr>
          </w:p>
        </w:tc>
      </w:tr>
      <w:tr w:rsidR="007460CA" w14:paraId="1BA4191A"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53158ADB" w14:textId="77777777" w:rsidR="007460CA" w:rsidRDefault="007460CA">
            <w:pPr>
              <w:pStyle w:val="TAL"/>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1609" w:type="dxa"/>
            <w:tcBorders>
              <w:top w:val="single" w:sz="4" w:space="0" w:color="auto"/>
              <w:left w:val="single" w:sz="4" w:space="0" w:color="auto"/>
              <w:bottom w:val="single" w:sz="4" w:space="0" w:color="auto"/>
              <w:right w:val="single" w:sz="4" w:space="0" w:color="auto"/>
            </w:tcBorders>
            <w:hideMark/>
          </w:tcPr>
          <w:p w14:paraId="7C7CD064" w14:textId="77777777" w:rsidR="007460CA" w:rsidRDefault="007460CA">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5B538E8D" w14:textId="77777777" w:rsidR="007460CA" w:rsidRDefault="007460CA">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2F90ABBD" w14:textId="77777777" w:rsidR="007460CA" w:rsidRDefault="007460CA">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5C193671" w14:textId="77777777" w:rsidR="007460CA" w:rsidRDefault="007460CA">
            <w:pPr>
              <w:pStyle w:val="TAL"/>
              <w:spacing w:line="264" w:lineRule="auto"/>
              <w:ind w:right="142"/>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hideMark/>
          </w:tcPr>
          <w:p w14:paraId="4E4A8383" w14:textId="77777777" w:rsidR="007460CA" w:rsidRDefault="007460CA">
            <w:pPr>
              <w:pStyle w:val="TAL"/>
              <w:spacing w:line="264" w:lineRule="auto"/>
              <w:ind w:right="142"/>
              <w:jc w:val="center"/>
            </w:pPr>
            <w:r>
              <w:rPr>
                <w:lang w:eastAsia="zh-CN"/>
              </w:rPr>
              <w:t>T</w:t>
            </w:r>
          </w:p>
        </w:tc>
      </w:tr>
      <w:tr w:rsidR="007460CA" w14:paraId="2624AF9C" w14:textId="77777777" w:rsidTr="007460CA">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0163AC20" w14:textId="77777777" w:rsidR="007460CA" w:rsidRDefault="007460CA">
            <w:pPr>
              <w:pStyle w:val="TAL"/>
              <w:rPr>
                <w:rFonts w:ascii="Courier New" w:hAnsi="Courier New" w:cs="Courier New"/>
                <w:lang w:eastAsia="zh-CN"/>
              </w:rPr>
            </w:pPr>
            <w:r>
              <w:rPr>
                <w:rFonts w:ascii="Courier New" w:hAnsi="Courier New" w:cs="Courier New"/>
                <w:lang w:eastAsia="zh-CN"/>
              </w:rPr>
              <w:t>mLModelRefList</w:t>
            </w:r>
          </w:p>
        </w:tc>
        <w:tc>
          <w:tcPr>
            <w:tcW w:w="1609" w:type="dxa"/>
            <w:tcBorders>
              <w:top w:val="single" w:sz="4" w:space="0" w:color="auto"/>
              <w:left w:val="single" w:sz="4" w:space="0" w:color="auto"/>
              <w:bottom w:val="single" w:sz="4" w:space="0" w:color="auto"/>
              <w:right w:val="single" w:sz="4" w:space="0" w:color="auto"/>
            </w:tcBorders>
            <w:hideMark/>
          </w:tcPr>
          <w:p w14:paraId="67CF0B82" w14:textId="77777777" w:rsidR="007460CA" w:rsidRDefault="007460CA">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0CF969CD" w14:textId="77777777" w:rsidR="007460CA" w:rsidRDefault="007460CA">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575C87CE" w14:textId="77777777" w:rsidR="007460CA" w:rsidRDefault="007460CA">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13D2DBBB" w14:textId="77777777" w:rsidR="007460CA" w:rsidRDefault="007460CA">
            <w:pPr>
              <w:pStyle w:val="TAL"/>
              <w:spacing w:line="264" w:lineRule="auto"/>
              <w:ind w:right="142"/>
              <w:jc w:val="center"/>
              <w:rPr>
                <w:lang w:eastAsia="zh-CN"/>
              </w:rPr>
            </w:pPr>
            <w:r>
              <w:rPr>
                <w:lang w:eastAsia="zh-CN"/>
              </w:rPr>
              <w:t>T</w:t>
            </w:r>
          </w:p>
        </w:tc>
        <w:tc>
          <w:tcPr>
            <w:tcW w:w="1379" w:type="dxa"/>
            <w:tcBorders>
              <w:top w:val="single" w:sz="4" w:space="0" w:color="auto"/>
              <w:left w:val="single" w:sz="4" w:space="0" w:color="auto"/>
              <w:bottom w:val="single" w:sz="4" w:space="0" w:color="auto"/>
              <w:right w:val="single" w:sz="4" w:space="0" w:color="auto"/>
            </w:tcBorders>
            <w:hideMark/>
          </w:tcPr>
          <w:p w14:paraId="1B444C02" w14:textId="77777777" w:rsidR="007460CA" w:rsidRDefault="007460CA">
            <w:pPr>
              <w:pStyle w:val="TAL"/>
              <w:spacing w:line="264" w:lineRule="auto"/>
              <w:ind w:right="142"/>
              <w:jc w:val="center"/>
              <w:rPr>
                <w:lang w:eastAsia="zh-CN"/>
              </w:rPr>
            </w:pPr>
            <w:r>
              <w:t>T</w:t>
            </w:r>
          </w:p>
        </w:tc>
      </w:tr>
    </w:tbl>
    <w:p w14:paraId="2EC751C9" w14:textId="77777777" w:rsidR="007460CA" w:rsidRDefault="007460CA" w:rsidP="007460CA">
      <w:pPr>
        <w:jc w:val="both"/>
        <w:rPr>
          <w:lang w:val="en-US"/>
        </w:rPr>
      </w:pPr>
    </w:p>
    <w:p w14:paraId="294D4CF6" w14:textId="77777777" w:rsidR="007460CA" w:rsidRDefault="007460CA" w:rsidP="007460CA">
      <w:pPr>
        <w:spacing w:after="60"/>
        <w:jc w:val="both"/>
        <w:rPr>
          <w:b/>
          <w:bCs/>
        </w:rPr>
      </w:pPr>
      <w:r w:rsidRPr="00D0606A">
        <w:rPr>
          <w:b/>
          <w:bCs/>
        </w:rPr>
        <w:t>Observation 1</w:t>
      </w:r>
    </w:p>
    <w:p w14:paraId="678F1D90" w14:textId="42DF9302" w:rsidR="003E7EA3" w:rsidRDefault="007460CA" w:rsidP="003E7EA3">
      <w:pPr>
        <w:jc w:val="both"/>
      </w:pPr>
      <w:r>
        <w:t xml:space="preserve">As specified in the clause </w:t>
      </w:r>
      <w:r w:rsidRPr="007460CA">
        <w:t>7.3a.4.2.5.1</w:t>
      </w:r>
      <w:r>
        <w:t>, t</w:t>
      </w:r>
      <w:r w:rsidRPr="007460CA">
        <w:t>his AIMLInferenceFunction instance can be created by the system or pre-installed</w:t>
      </w:r>
      <w:r w:rsidR="007A31CE">
        <w:t xml:space="preserve"> and it </w:t>
      </w:r>
      <w:r w:rsidR="007A31CE" w:rsidRPr="007A31CE">
        <w:t>can be only created by the MnS producer but not consumer</w:t>
      </w:r>
      <w:r w:rsidRPr="007460CA">
        <w:t>.</w:t>
      </w:r>
      <w:r>
        <w:t xml:space="preserve"> </w:t>
      </w:r>
      <w:r w:rsidR="007A31CE">
        <w:t>If</w:t>
      </w:r>
      <w:r w:rsidR="003E7EA3">
        <w:t xml:space="preserve"> the consumer cannot request to create an AIMLInferenceFunction MOI on the Producer</w:t>
      </w:r>
      <w:r w:rsidR="007A31CE">
        <w:t>,</w:t>
      </w:r>
      <w:r w:rsidR="003E7EA3">
        <w:t xml:space="preserve"> then all attributes in the table above should be configured by the Producer when the instance is created or pre-installed, i.e., the isWritable property of “</w:t>
      </w:r>
      <w:r w:rsidR="003E7EA3" w:rsidRPr="003E7EA3">
        <w:rPr>
          <w:rFonts w:ascii="Courier New" w:hAnsi="Courier New" w:cs="Courier New"/>
          <w:lang w:eastAsia="zh-CN"/>
        </w:rPr>
        <w:t>activationStatus</w:t>
      </w:r>
      <w:r w:rsidR="003E7EA3">
        <w:t>” and “</w:t>
      </w:r>
      <w:r w:rsidR="003E7EA3" w:rsidRPr="003E7EA3">
        <w:rPr>
          <w:rFonts w:ascii="Courier New" w:hAnsi="Courier New" w:cs="Courier New"/>
          <w:lang w:eastAsia="zh-CN"/>
        </w:rPr>
        <w:t>managedActivationScope</w:t>
      </w:r>
      <w:r w:rsidR="003E7EA3">
        <w:t>” should be “F”.</w:t>
      </w:r>
    </w:p>
    <w:p w14:paraId="786E0CA7" w14:textId="5A811766" w:rsidR="003E7EA3" w:rsidRDefault="003E7EA3" w:rsidP="003E7EA3">
      <w:pPr>
        <w:jc w:val="both"/>
      </w:pPr>
      <w:r>
        <w:t xml:space="preserve">Furthermore, the requirement (see clause </w:t>
      </w:r>
      <w:r w:rsidRPr="003E7EA3">
        <w:t>6.5.1.3</w:t>
      </w:r>
      <w:r w:rsidRPr="003E7EA3">
        <w:tab/>
        <w:t>Requirements for AI/ML inference performance management</w:t>
      </w:r>
      <w:r>
        <w:t xml:space="preserve">) below </w:t>
      </w:r>
      <w:r w:rsidR="00663823">
        <w:t>intends to allow</w:t>
      </w:r>
      <w:r>
        <w:t xml:space="preserve"> the consumer to indicate the performance policy to the producer</w:t>
      </w:r>
      <w:r w:rsidR="007A31CE">
        <w:t>, i.e., the consumer can provide the performance policy to the producer and modify it later</w:t>
      </w:r>
      <w:r>
        <w:t xml:space="preserve">. </w:t>
      </w:r>
      <w:r w:rsidR="007A31CE">
        <w:t>However, a</w:t>
      </w:r>
      <w:r>
        <w:t xml:space="preserve">ccording to the analysis above, the consumer </w:t>
      </w:r>
      <w:r w:rsidR="007A31CE">
        <w:t>can</w:t>
      </w:r>
      <w:r>
        <w:t xml:space="preserve"> only request to modify the policy (i.e., </w:t>
      </w:r>
      <w:r>
        <w:rPr>
          <w:rFonts w:ascii="Courier New" w:hAnsi="Courier New" w:cs="Courier New"/>
          <w:lang w:eastAsia="zh-CN"/>
        </w:rPr>
        <w:t>managedActivationScope</w:t>
      </w:r>
      <w:r>
        <w:t>).</w:t>
      </w:r>
    </w:p>
    <w:p w14:paraId="2A26A490" w14:textId="77777777" w:rsidR="003E7EA3" w:rsidRPr="003E7EA3" w:rsidRDefault="003E7EA3" w:rsidP="003E7EA3">
      <w:pPr>
        <w:pStyle w:val="TAL"/>
        <w:jc w:val="both"/>
        <w:rPr>
          <w:rFonts w:ascii="Courier New" w:hAnsi="Courier New" w:cs="Courier New"/>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3E7EA3" w14:paraId="5F786E27" w14:textId="77777777" w:rsidTr="003E7EA3">
        <w:trPr>
          <w:jc w:val="center"/>
        </w:trPr>
        <w:tc>
          <w:tcPr>
            <w:tcW w:w="1838" w:type="dxa"/>
            <w:tcBorders>
              <w:top w:val="single" w:sz="4" w:space="0" w:color="auto"/>
              <w:left w:val="single" w:sz="4" w:space="0" w:color="auto"/>
              <w:bottom w:val="single" w:sz="4" w:space="0" w:color="auto"/>
              <w:right w:val="single" w:sz="4" w:space="0" w:color="auto"/>
            </w:tcBorders>
            <w:hideMark/>
          </w:tcPr>
          <w:p w14:paraId="5FCEAC7D" w14:textId="77777777" w:rsidR="003E7EA3" w:rsidRDefault="003E7EA3">
            <w:pPr>
              <w:pStyle w:val="TAL"/>
              <w:keepNext w:val="0"/>
              <w:rPr>
                <w:b/>
                <w:lang w:val="fr-FR"/>
              </w:rPr>
            </w:pPr>
            <w:r>
              <w:rPr>
                <w:b/>
                <w:lang w:val="fr-FR" w:eastAsia="zh-CN"/>
              </w:rPr>
              <w:t>REQ-AI/ML_PERF-POL-1</w:t>
            </w:r>
          </w:p>
        </w:tc>
        <w:tc>
          <w:tcPr>
            <w:tcW w:w="5954" w:type="dxa"/>
            <w:tcBorders>
              <w:top w:val="single" w:sz="4" w:space="0" w:color="auto"/>
              <w:left w:val="single" w:sz="4" w:space="0" w:color="auto"/>
              <w:bottom w:val="single" w:sz="4" w:space="0" w:color="auto"/>
              <w:right w:val="single" w:sz="4" w:space="0" w:color="auto"/>
            </w:tcBorders>
            <w:hideMark/>
          </w:tcPr>
          <w:p w14:paraId="16BC29E7" w14:textId="77777777" w:rsidR="003E7EA3" w:rsidRDefault="003E7EA3">
            <w:pPr>
              <w:pStyle w:val="TAL"/>
              <w:keepNext w:val="0"/>
              <w:rPr>
                <w:lang w:eastAsia="zh-CN"/>
              </w:rPr>
            </w:pPr>
            <w:r>
              <w:rPr>
                <w:lang w:eastAsia="zh-CN"/>
              </w:rPr>
              <w:t>The AI/ML MnS producer shall have a capability allowing the authorized MnS consumer to indicate a performance policy related to AI/ML inference.</w:t>
            </w:r>
          </w:p>
        </w:tc>
        <w:tc>
          <w:tcPr>
            <w:tcW w:w="1904" w:type="dxa"/>
            <w:tcBorders>
              <w:top w:val="single" w:sz="4" w:space="0" w:color="auto"/>
              <w:left w:val="single" w:sz="4" w:space="0" w:color="auto"/>
              <w:bottom w:val="single" w:sz="4" w:space="0" w:color="auto"/>
              <w:right w:val="single" w:sz="4" w:space="0" w:color="auto"/>
            </w:tcBorders>
            <w:hideMark/>
          </w:tcPr>
          <w:p w14:paraId="4BA04B60" w14:textId="77777777" w:rsidR="003E7EA3" w:rsidRDefault="003E7EA3">
            <w:pPr>
              <w:pStyle w:val="TAL"/>
              <w:keepNext w:val="0"/>
              <w:rPr>
                <w:lang w:eastAsia="zh-CN"/>
              </w:rPr>
            </w:pPr>
            <w:r>
              <w:rPr>
                <w:lang w:eastAsia="zh-CN"/>
              </w:rPr>
              <w:t>AI/ML performance measurements selection based on MnS consumer policy (clause 6.</w:t>
            </w:r>
            <w:r>
              <w:t>5.1</w:t>
            </w:r>
            <w:r>
              <w:rPr>
                <w:lang w:eastAsia="zh-CN"/>
              </w:rPr>
              <w:t>.2.2)</w:t>
            </w:r>
          </w:p>
        </w:tc>
      </w:tr>
    </w:tbl>
    <w:p w14:paraId="2F995B38" w14:textId="77777777" w:rsidR="007460CA" w:rsidRDefault="007460CA" w:rsidP="007460CA">
      <w:pPr>
        <w:jc w:val="both"/>
      </w:pPr>
    </w:p>
    <w:p w14:paraId="6E2D2A2E" w14:textId="57A72A4A" w:rsidR="00DE2C00" w:rsidRPr="00D1696B" w:rsidRDefault="00DE2C00" w:rsidP="00DE2C00">
      <w:pPr>
        <w:pStyle w:val="2"/>
        <w:ind w:left="851" w:hanging="851"/>
      </w:pPr>
      <w:r w:rsidRPr="00D1696B">
        <w:t>3.</w:t>
      </w:r>
      <w:r>
        <w:t>2</w:t>
      </w:r>
      <w:r w:rsidRPr="00506640">
        <w:tab/>
      </w:r>
      <w:r>
        <w:t>Relationships of AIMLInferenceFunction</w:t>
      </w:r>
    </w:p>
    <w:p w14:paraId="6FDC36BF" w14:textId="093D3DF8" w:rsidR="00DE2C00" w:rsidRPr="008D565D" w:rsidRDefault="00DE2C00" w:rsidP="007460CA">
      <w:pPr>
        <w:jc w:val="both"/>
      </w:pPr>
      <w:r w:rsidRPr="008D565D">
        <w:rPr>
          <w:rFonts w:hint="eastAsia"/>
        </w:rPr>
        <w:t>T</w:t>
      </w:r>
      <w:r w:rsidRPr="008D565D">
        <w:t>he relationships between AIMLInferenceFunction and AIMLSupportedFunction including MDAF is depicted below.</w:t>
      </w:r>
      <w:r w:rsidR="00663823">
        <w:t xml:space="preserve"> </w:t>
      </w:r>
      <w:r w:rsidR="00663823" w:rsidRPr="00663823">
        <w:t>The IOCs representing the functions/functionalities (Note) that use the AI/ML inference function include MDAFunction, AnLFFunction, DMROFunction, DLBOFunction, and DESManagementFunction.</w:t>
      </w:r>
    </w:p>
    <w:p w14:paraId="63BC151E" w14:textId="5DF73994" w:rsidR="00DE2C00" w:rsidRPr="00DE2C00" w:rsidRDefault="00DE2C00" w:rsidP="007460CA">
      <w:pPr>
        <w:jc w:val="both"/>
        <w:rPr>
          <w:rFonts w:eastAsiaTheme="minorEastAsia"/>
          <w:lang w:eastAsia="zh-CN"/>
        </w:rPr>
      </w:pPr>
      <w:r>
        <w:rPr>
          <w:noProof/>
          <w:lang w:val="en-US" w:eastAsia="zh-CN"/>
        </w:rPr>
        <w:lastRenderedPageBreak/>
        <w:drawing>
          <wp:inline distT="0" distB="0" distL="0" distR="0" wp14:anchorId="7068BA48" wp14:editId="763273B3">
            <wp:extent cx="6120765" cy="2595245"/>
            <wp:effectExtent l="0" t="0" r="0" b="0"/>
            <wp:docPr id="1697255320" name="Picture 11" descr="PlantUML Diagram"/>
            <wp:cNvGraphicFramePr/>
            <a:graphic xmlns:a="http://schemas.openxmlformats.org/drawingml/2006/main">
              <a:graphicData uri="http://schemas.openxmlformats.org/drawingml/2006/picture">
                <pic:pic xmlns:pic="http://schemas.openxmlformats.org/drawingml/2006/picture">
                  <pic:nvPicPr>
                    <pic:cNvPr id="1697255320" name="Picture 11" descr="PlantUML Diagram"/>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p>
    <w:p w14:paraId="3396A5F2" w14:textId="1A59746F" w:rsidR="003E7EA3" w:rsidRDefault="003E7EA3" w:rsidP="003E7EA3">
      <w:pPr>
        <w:spacing w:after="60"/>
        <w:jc w:val="both"/>
        <w:rPr>
          <w:b/>
          <w:bCs/>
        </w:rPr>
      </w:pPr>
      <w:r w:rsidRPr="00D0606A">
        <w:rPr>
          <w:b/>
          <w:bCs/>
        </w:rPr>
        <w:t xml:space="preserve">Observation </w:t>
      </w:r>
      <w:r>
        <w:rPr>
          <w:b/>
          <w:bCs/>
        </w:rPr>
        <w:t>2</w:t>
      </w:r>
    </w:p>
    <w:p w14:paraId="39175697" w14:textId="5DA689EB" w:rsidR="007A31CE" w:rsidRDefault="00A974AD" w:rsidP="008D565D">
      <w:pPr>
        <w:jc w:val="both"/>
      </w:pPr>
      <w:r w:rsidRPr="00A974AD">
        <w:t>The relationship between AIMLSupportedFunction and AIMLInferenceFunction remains ambiguous in the current documentation. It indicates that AIMLSupportedFunction represents the IOCs employing AI/ML inference functions. However, MDAFunction can be instantiated for AI/ML inference tasks using MDA models</w:t>
      </w:r>
      <w:r>
        <w:t xml:space="preserve"> without AIMLInfrenceFunction</w:t>
      </w:r>
      <w:r w:rsidRPr="00A974AD">
        <w:t>.</w:t>
      </w:r>
    </w:p>
    <w:p w14:paraId="11B53905" w14:textId="77777777" w:rsidR="00A974AD" w:rsidRDefault="00A974AD" w:rsidP="007460CA">
      <w:pPr>
        <w:jc w:val="both"/>
      </w:pPr>
      <w:r w:rsidRPr="00A974AD">
        <w:t>For MDA, AIMLInferenceFunction should be viewed as a complement to MDAFunction, controlling its activation and deactivation. Once the AI/ML function is activated, the consumer can request MDA output by creating an MDARequest MOI on the MDA producer. The MDARequest MOI is reusable, eliminating the need for a specif</w:t>
      </w:r>
      <w:r>
        <w:t xml:space="preserve">ic AIMLInferenceRequest for MDA. </w:t>
      </w:r>
    </w:p>
    <w:p w14:paraId="5568BE90" w14:textId="7059352D" w:rsidR="007460CA" w:rsidRDefault="00A974AD" w:rsidP="007460CA">
      <w:pPr>
        <w:jc w:val="both"/>
      </w:pPr>
      <w:r w:rsidRPr="00A974AD">
        <w:t xml:space="preserve">However, for other AIMLSupportedFunctions, based on the current NRM, AIMLInferenceName is not an attribute of AIMLSupportedFunction. This means the consumer cannot request inference output, nor can the producer trigger an inference task for a specific </w:t>
      </w:r>
      <w:r w:rsidRPr="00500B0C">
        <w:rPr>
          <w:rFonts w:ascii="Courier New" w:hAnsi="Courier New" w:cs="Courier New"/>
          <w:lang w:eastAsia="zh-CN"/>
        </w:rPr>
        <w:t>AIMLInferenceName</w:t>
      </w:r>
      <w:r w:rsidRPr="00A974AD">
        <w:t>.</w:t>
      </w:r>
    </w:p>
    <w:p w14:paraId="0DB51C00" w14:textId="3FE36562" w:rsidR="00E73C01" w:rsidRPr="00E73C01" w:rsidRDefault="00E73C01" w:rsidP="00E73C01">
      <w:pPr>
        <w:pStyle w:val="TH"/>
        <w:jc w:val="left"/>
        <w:rPr>
          <w:b w:val="0"/>
          <w:sz w:val="32"/>
        </w:rPr>
      </w:pPr>
      <w:r>
        <w:rPr>
          <w:b w:val="0"/>
          <w:sz w:val="32"/>
        </w:rPr>
        <w:t>3.3</w:t>
      </w:r>
      <w:r w:rsidR="00645A34" w:rsidRPr="00506640">
        <w:tab/>
      </w:r>
      <w:r w:rsidR="00A974AD">
        <w:rPr>
          <w:b w:val="0"/>
          <w:sz w:val="32"/>
        </w:rPr>
        <w:t>Identified Issues</w:t>
      </w:r>
    </w:p>
    <w:p w14:paraId="79C1A688" w14:textId="7FD8A4DE" w:rsidR="00A974AD" w:rsidRPr="00A974AD" w:rsidRDefault="00A974AD" w:rsidP="007460CA">
      <w:pPr>
        <w:jc w:val="both"/>
      </w:pPr>
      <w:r w:rsidRPr="00A974AD">
        <w:t>1. The documentation needs to be improved by clarifying the relation between MDAFunction and AIMLInferenceFunction.</w:t>
      </w:r>
    </w:p>
    <w:p w14:paraId="0C1101E9" w14:textId="2401EAA4" w:rsidR="00A974AD" w:rsidRPr="00A974AD" w:rsidRDefault="00A974AD" w:rsidP="007460CA">
      <w:pPr>
        <w:jc w:val="both"/>
      </w:pPr>
      <w:r w:rsidRPr="00A974AD">
        <w:t>2. The consumer cannot request inference output for a non-MDA AIMLInferenceName based on current NRM solution.</w:t>
      </w:r>
    </w:p>
    <w:p w14:paraId="74115F19" w14:textId="36FAFEEE" w:rsidR="00645A34" w:rsidRPr="00A974AD" w:rsidRDefault="00A974AD" w:rsidP="007460CA">
      <w:pPr>
        <w:jc w:val="both"/>
      </w:pPr>
      <w:r w:rsidRPr="00A974AD">
        <w:t>3. The producer cannot trigger an inference task for a non-MDA AIMLInferenceName based current NRM solution</w:t>
      </w:r>
      <w:r w:rsidR="00645A34" w:rsidRPr="00A974AD">
        <w:t>.</w:t>
      </w:r>
    </w:p>
    <w:p w14:paraId="18766155" w14:textId="70EE712F" w:rsidR="00E73C01" w:rsidRDefault="00E73C01" w:rsidP="00E73C01">
      <w:pPr>
        <w:pStyle w:val="1"/>
      </w:pPr>
      <w:r>
        <w:t>4</w:t>
      </w:r>
      <w:r>
        <w:tab/>
        <w:t xml:space="preserve">Recommendation </w:t>
      </w:r>
    </w:p>
    <w:p w14:paraId="26940AFD" w14:textId="4B21D112" w:rsidR="00E73C01" w:rsidRDefault="00A974AD" w:rsidP="007460CA">
      <w:pPr>
        <w:jc w:val="both"/>
        <w:rPr>
          <w:rFonts w:eastAsiaTheme="minorEastAsia"/>
          <w:lang w:eastAsia="zh-CN"/>
        </w:rPr>
      </w:pPr>
      <w:r>
        <w:rPr>
          <w:rFonts w:eastAsiaTheme="minorEastAsia" w:hint="eastAsia"/>
          <w:lang w:eastAsia="zh-CN"/>
        </w:rPr>
        <w:t>1</w:t>
      </w:r>
      <w:r>
        <w:rPr>
          <w:rFonts w:eastAsiaTheme="minorEastAsia"/>
          <w:lang w:eastAsia="zh-CN"/>
        </w:rPr>
        <w:t>. Add the following description to clarify the relation between MDAF and AIMLInferenceFunction:</w:t>
      </w:r>
    </w:p>
    <w:p w14:paraId="6B5E83F1" w14:textId="044DBDBF" w:rsidR="00A974AD" w:rsidRDefault="00A974AD" w:rsidP="007460CA">
      <w:pPr>
        <w:jc w:val="both"/>
        <w:rPr>
          <w:rFonts w:eastAsiaTheme="minorEastAsia"/>
          <w:lang w:eastAsia="zh-CN"/>
        </w:rPr>
      </w:pPr>
      <w:r>
        <w:rPr>
          <w:rFonts w:eastAsiaTheme="minorEastAsia"/>
          <w:lang w:eastAsia="zh-CN"/>
        </w:rPr>
        <w:t>“</w:t>
      </w:r>
      <w:r w:rsidRPr="00A974AD">
        <w:t>For MDA, AIMLInferenceFunction should be viewed as a complement to MDAFunction, controlling its activation and deactivation. Once the AI/ML function is activated, the consumer can request MDA output by creating an MDARequest MOI on the MDA producer</w:t>
      </w:r>
      <w:r>
        <w:t xml:space="preserve"> (see TS 28.104)</w:t>
      </w:r>
      <w:r w:rsidRPr="00A974AD">
        <w:t>.</w:t>
      </w:r>
      <w:r>
        <w:rPr>
          <w:rFonts w:eastAsiaTheme="minorEastAsia"/>
          <w:lang w:eastAsia="zh-CN"/>
        </w:rPr>
        <w:t>”</w:t>
      </w:r>
    </w:p>
    <w:p w14:paraId="3574EEFA" w14:textId="4618B6B0" w:rsidR="00A974AD" w:rsidRPr="00A974AD" w:rsidRDefault="00A974AD" w:rsidP="007460CA">
      <w:pPr>
        <w:jc w:val="both"/>
        <w:rPr>
          <w:rFonts w:eastAsiaTheme="minorEastAsia"/>
          <w:lang w:eastAsia="zh-CN"/>
        </w:rPr>
      </w:pPr>
      <w:r>
        <w:rPr>
          <w:rFonts w:eastAsiaTheme="minorEastAsia"/>
          <w:lang w:eastAsia="zh-CN"/>
        </w:rPr>
        <w:t xml:space="preserve">2. </w:t>
      </w:r>
      <w:r w:rsidR="00500B0C" w:rsidRPr="00500B0C">
        <w:rPr>
          <w:rFonts w:eastAsiaTheme="minorEastAsia"/>
          <w:lang w:eastAsia="zh-CN"/>
        </w:rPr>
        <w:t xml:space="preserve">Define the AIMLInferenceRequest IOC, which is </w:t>
      </w:r>
      <w:r w:rsidR="000A4F69">
        <w:rPr>
          <w:rFonts w:eastAsiaTheme="minorEastAsia"/>
          <w:lang w:eastAsia="zh-CN"/>
        </w:rPr>
        <w:t>name-</w:t>
      </w:r>
      <w:r w:rsidR="00500B0C" w:rsidRPr="00500B0C">
        <w:rPr>
          <w:rFonts w:eastAsiaTheme="minorEastAsia"/>
          <w:lang w:eastAsia="zh-CN"/>
        </w:rPr>
        <w:t>contained within the AIMLInferenceFunction. The AIMLInferenceRequest MOI represents the inference requirements from the consumer, allowing the consumer to request creation of the AIMLInferenceRequest MOI on the producer. Add the attribute “</w:t>
      </w:r>
      <w:r w:rsidR="00500B0C" w:rsidRPr="00500B0C">
        <w:rPr>
          <w:rFonts w:ascii="Courier New" w:hAnsi="Courier New" w:cs="Courier New"/>
          <w:lang w:eastAsia="zh-CN"/>
        </w:rPr>
        <w:t>aIMLInferenceName</w:t>
      </w:r>
      <w:r w:rsidR="00500B0C" w:rsidRPr="00500B0C">
        <w:rPr>
          <w:rFonts w:eastAsiaTheme="minorEastAsia"/>
          <w:lang w:eastAsia="zh-CN"/>
        </w:rPr>
        <w:t>” and move “</w:t>
      </w:r>
      <w:r w:rsidR="00500B0C" w:rsidRPr="00500B0C">
        <w:rPr>
          <w:rFonts w:ascii="Courier New" w:hAnsi="Courier New" w:cs="Courier New"/>
          <w:lang w:eastAsia="zh-CN"/>
        </w:rPr>
        <w:t>activationStatus</w:t>
      </w:r>
      <w:r w:rsidR="00500B0C" w:rsidRPr="00500B0C">
        <w:rPr>
          <w:rFonts w:eastAsiaTheme="minorEastAsia"/>
          <w:lang w:eastAsia="zh-CN"/>
        </w:rPr>
        <w:t>” and “</w:t>
      </w:r>
      <w:r w:rsidR="00500B0C" w:rsidRPr="00500B0C">
        <w:rPr>
          <w:rFonts w:ascii="Courier New" w:hAnsi="Courier New" w:cs="Courier New"/>
          <w:lang w:eastAsia="zh-CN"/>
        </w:rPr>
        <w:t>managedActivationScope</w:t>
      </w:r>
      <w:r w:rsidR="00500B0C" w:rsidRPr="00500B0C">
        <w:rPr>
          <w:rFonts w:eastAsiaTheme="minorEastAsia"/>
          <w:lang w:eastAsia="zh-CN"/>
        </w:rPr>
        <w:t>” to the AIMLInferenceRequest IOC. Note that “</w:t>
      </w:r>
      <w:r w:rsidR="00500B0C">
        <w:rPr>
          <w:rFonts w:ascii="Courier New" w:hAnsi="Courier New" w:cs="Courier New"/>
          <w:lang w:eastAsia="zh-CN"/>
        </w:rPr>
        <w:t>aI</w:t>
      </w:r>
      <w:r w:rsidR="00500B0C" w:rsidRPr="00500B0C">
        <w:rPr>
          <w:rFonts w:ascii="Courier New" w:hAnsi="Courier New" w:cs="Courier New"/>
          <w:lang w:eastAsia="zh-CN"/>
        </w:rPr>
        <w:t>MLInferenceName</w:t>
      </w:r>
      <w:r w:rsidR="00500B0C" w:rsidRPr="00500B0C">
        <w:rPr>
          <w:rFonts w:eastAsiaTheme="minorEastAsia"/>
          <w:lang w:eastAsia="zh-CN"/>
        </w:rPr>
        <w:t>” in the AIMLInferenceRequest MOI does not accept MDA types as valid values</w:t>
      </w:r>
      <w:r w:rsidR="00500B0C">
        <w:rPr>
          <w:rFonts w:eastAsiaTheme="minorEastAsia"/>
          <w:lang w:eastAsia="zh-CN"/>
        </w:rPr>
        <w:t xml:space="preserve"> to avoid the duplication or conflict with MDARequest</w:t>
      </w:r>
      <w:r w:rsidR="00500B0C" w:rsidRPr="00500B0C">
        <w:rPr>
          <w:rFonts w:eastAsiaTheme="minorEastAsia"/>
          <w:lang w:eastAsia="zh-CN"/>
        </w:rPr>
        <w:t>.</w:t>
      </w:r>
    </w:p>
    <w:p w14:paraId="459D8228" w14:textId="17EFE361" w:rsidR="00C022E3" w:rsidRDefault="00E73C01">
      <w:pPr>
        <w:pStyle w:val="1"/>
      </w:pPr>
      <w:r>
        <w:t>5</w:t>
      </w:r>
      <w:r w:rsidR="00C022E3">
        <w:tab/>
        <w:t>Detailed proposal</w:t>
      </w:r>
    </w:p>
    <w:p w14:paraId="68EAA552" w14:textId="321682CF" w:rsidR="00E73C01" w:rsidRPr="00E73C01" w:rsidRDefault="00E73C01" w:rsidP="00E73C01">
      <w:r w:rsidRPr="00E73C01">
        <w:t>The group is asked to endorse the</w:t>
      </w:r>
      <w:r w:rsidR="00A974AD">
        <w:t xml:space="preserve"> issues</w:t>
      </w:r>
      <w:r w:rsidRPr="00E73C01">
        <w:t xml:space="preserve"> reported </w:t>
      </w:r>
      <w:r>
        <w:t>above</w:t>
      </w:r>
      <w:r w:rsidRPr="00E73C01">
        <w:t>.</w:t>
      </w:r>
    </w:p>
    <w:p w14:paraId="2B49EE73" w14:textId="2F9900CC" w:rsidR="00E13BCE" w:rsidRPr="00E73C01" w:rsidRDefault="00E73C01" w:rsidP="00E73C01">
      <w:r w:rsidRPr="00E73C01">
        <w:t xml:space="preserve">The group is asked to </w:t>
      </w:r>
      <w:r>
        <w:t>agree to define the AIMLInferenceRequest IOC to solve the issues above</w:t>
      </w:r>
      <w:r w:rsidRPr="00E73C01">
        <w:t>.</w:t>
      </w:r>
    </w:p>
    <w:sectPr w:rsidR="00E13BCE" w:rsidRPr="00E73C0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46303" w14:textId="77777777" w:rsidR="00C06EB7" w:rsidRDefault="00C06EB7">
      <w:r>
        <w:separator/>
      </w:r>
    </w:p>
  </w:endnote>
  <w:endnote w:type="continuationSeparator" w:id="0">
    <w:p w14:paraId="624D6F95" w14:textId="77777777" w:rsidR="00C06EB7" w:rsidRDefault="00C06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F7943" w14:textId="77777777" w:rsidR="00C06EB7" w:rsidRDefault="00C06EB7">
      <w:r>
        <w:separator/>
      </w:r>
    </w:p>
  </w:footnote>
  <w:footnote w:type="continuationSeparator" w:id="0">
    <w:p w14:paraId="693B8F85" w14:textId="77777777" w:rsidR="00C06EB7" w:rsidRDefault="00C06E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C2B1F4B"/>
    <w:multiLevelType w:val="hybridMultilevel"/>
    <w:tmpl w:val="61CAFA34"/>
    <w:lvl w:ilvl="0" w:tplc="7A42D5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A4F69"/>
    <w:rsid w:val="000D1B5B"/>
    <w:rsid w:val="000E626A"/>
    <w:rsid w:val="0010401F"/>
    <w:rsid w:val="00112FC3"/>
    <w:rsid w:val="001343B4"/>
    <w:rsid w:val="00147E06"/>
    <w:rsid w:val="00173FA3"/>
    <w:rsid w:val="001834F2"/>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2020C"/>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7EA3"/>
    <w:rsid w:val="003F52B2"/>
    <w:rsid w:val="0041632F"/>
    <w:rsid w:val="00424E78"/>
    <w:rsid w:val="00440414"/>
    <w:rsid w:val="004558E9"/>
    <w:rsid w:val="0045777E"/>
    <w:rsid w:val="00482717"/>
    <w:rsid w:val="004B3753"/>
    <w:rsid w:val="004C31D2"/>
    <w:rsid w:val="004D55C2"/>
    <w:rsid w:val="004F0E5C"/>
    <w:rsid w:val="004F58D4"/>
    <w:rsid w:val="004F5A0A"/>
    <w:rsid w:val="00500B0C"/>
    <w:rsid w:val="00521131"/>
    <w:rsid w:val="00527C0B"/>
    <w:rsid w:val="005303AF"/>
    <w:rsid w:val="005410F6"/>
    <w:rsid w:val="0055412D"/>
    <w:rsid w:val="005729C4"/>
    <w:rsid w:val="00577BC6"/>
    <w:rsid w:val="0059227B"/>
    <w:rsid w:val="005B0966"/>
    <w:rsid w:val="005B795D"/>
    <w:rsid w:val="00610508"/>
    <w:rsid w:val="00613820"/>
    <w:rsid w:val="00645A34"/>
    <w:rsid w:val="00645C90"/>
    <w:rsid w:val="00652248"/>
    <w:rsid w:val="00657B80"/>
    <w:rsid w:val="00663823"/>
    <w:rsid w:val="00675B3C"/>
    <w:rsid w:val="0069495C"/>
    <w:rsid w:val="006B6E9E"/>
    <w:rsid w:val="006D340A"/>
    <w:rsid w:val="00715A1D"/>
    <w:rsid w:val="007460CA"/>
    <w:rsid w:val="00760BB0"/>
    <w:rsid w:val="0076157A"/>
    <w:rsid w:val="00784593"/>
    <w:rsid w:val="007A00EF"/>
    <w:rsid w:val="007A31CE"/>
    <w:rsid w:val="007B19EA"/>
    <w:rsid w:val="007C0A2D"/>
    <w:rsid w:val="007C27B0"/>
    <w:rsid w:val="007F300B"/>
    <w:rsid w:val="008014C3"/>
    <w:rsid w:val="00812587"/>
    <w:rsid w:val="0082425A"/>
    <w:rsid w:val="00850812"/>
    <w:rsid w:val="00876B9A"/>
    <w:rsid w:val="00886CBD"/>
    <w:rsid w:val="008933BF"/>
    <w:rsid w:val="008A10C4"/>
    <w:rsid w:val="008B0248"/>
    <w:rsid w:val="008D191D"/>
    <w:rsid w:val="008D565D"/>
    <w:rsid w:val="008F5F33"/>
    <w:rsid w:val="0091046A"/>
    <w:rsid w:val="00924155"/>
    <w:rsid w:val="00926ABD"/>
    <w:rsid w:val="00927F70"/>
    <w:rsid w:val="00947F4E"/>
    <w:rsid w:val="00966D47"/>
    <w:rsid w:val="00992312"/>
    <w:rsid w:val="009A45F7"/>
    <w:rsid w:val="009C0DED"/>
    <w:rsid w:val="009F24A5"/>
    <w:rsid w:val="00A004B4"/>
    <w:rsid w:val="00A20ED6"/>
    <w:rsid w:val="00A37D7F"/>
    <w:rsid w:val="00A46410"/>
    <w:rsid w:val="00A57688"/>
    <w:rsid w:val="00A57B58"/>
    <w:rsid w:val="00A6313B"/>
    <w:rsid w:val="00A842E9"/>
    <w:rsid w:val="00A84A94"/>
    <w:rsid w:val="00A974AD"/>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06EB7"/>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A1E58"/>
    <w:rsid w:val="00DB4B64"/>
    <w:rsid w:val="00DB75B8"/>
    <w:rsid w:val="00DC1055"/>
    <w:rsid w:val="00DC1396"/>
    <w:rsid w:val="00DE2C00"/>
    <w:rsid w:val="00DE4EF2"/>
    <w:rsid w:val="00DF0F93"/>
    <w:rsid w:val="00DF2C0E"/>
    <w:rsid w:val="00E04DB6"/>
    <w:rsid w:val="00E06FFB"/>
    <w:rsid w:val="00E13BCE"/>
    <w:rsid w:val="00E30155"/>
    <w:rsid w:val="00E67ABE"/>
    <w:rsid w:val="00E73C01"/>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EA3"/>
    <w:pPr>
      <w:overflowPunct w:val="0"/>
      <w:autoSpaceDE w:val="0"/>
      <w:autoSpaceDN w:val="0"/>
      <w:adjustRightInd w:val="0"/>
      <w:spacing w:after="180"/>
    </w:pPr>
    <w:rPr>
      <w:rFonts w:ascii="Times New Roman" w:eastAsia="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overflowPunct/>
      <w:autoSpaceDE/>
      <w:autoSpaceDN/>
      <w:adjustRightInd/>
      <w:ind w:left="568" w:hanging="284"/>
    </w:pPr>
    <w:rPr>
      <w:rFonts w:eastAsia="宋体"/>
    </w:r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rPr>
  </w:style>
  <w:style w:type="paragraph" w:customStyle="1" w:styleId="NO">
    <w:name w:val="NO"/>
    <w:basedOn w:val="a"/>
    <w:pPr>
      <w:keepLines/>
      <w:overflowPunct/>
      <w:autoSpaceDE/>
      <w:autoSpaceDN/>
      <w:adjustRightInd/>
      <w:ind w:left="1135" w:hanging="851"/>
    </w:pPr>
    <w:rPr>
      <w:rFonts w:eastAsia="宋体"/>
    </w:rPr>
  </w:style>
  <w:style w:type="paragraph" w:styleId="90">
    <w:name w:val="toc 9"/>
    <w:basedOn w:val="80"/>
    <w:semiHidden/>
    <w:pPr>
      <w:ind w:left="1418" w:hanging="1418"/>
    </w:pPr>
  </w:style>
  <w:style w:type="paragraph" w:customStyle="1" w:styleId="EX">
    <w:name w:val="EX"/>
    <w:basedOn w:val="a"/>
    <w:pPr>
      <w:keepLines/>
      <w:overflowPunct/>
      <w:autoSpaceDE/>
      <w:autoSpaceDN/>
      <w:adjustRightInd/>
      <w:ind w:left="1702" w:hanging="1418"/>
    </w:pPr>
    <w:rPr>
      <w:rFonts w:eastAsia="宋体"/>
    </w:rPr>
  </w:style>
  <w:style w:type="paragraph" w:customStyle="1" w:styleId="FP">
    <w:name w:val="FP"/>
    <w:basedOn w:val="a"/>
    <w:pPr>
      <w:overflowPunct/>
      <w:autoSpaceDE/>
      <w:autoSpaceDN/>
      <w:adjustRightInd/>
      <w:spacing w:after="0"/>
    </w:pPr>
    <w:rPr>
      <w:rFonts w:eastAsia="宋体"/>
    </w:r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overflowPunct/>
      <w:autoSpaceDE/>
      <w:autoSpaceDN/>
      <w:adjustRightInd/>
    </w:pPr>
    <w:rPr>
      <w:rFonts w:eastAsia="宋体"/>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pPr>
      <w:overflowPunct/>
      <w:autoSpaceDE/>
      <w:autoSpaceDN/>
      <w:adjustRightInd/>
    </w:pPr>
    <w:rPr>
      <w:rFonts w:eastAsia="宋体"/>
    </w:rPr>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spacing w:after="0"/>
      <w:textAlignment w:val="baseline"/>
    </w:pPr>
    <w:rPr>
      <w:rFonts w:ascii="Courier New" w:eastAsia="宋体" w:hAnsi="Courier New"/>
    </w:rPr>
  </w:style>
  <w:style w:type="character" w:customStyle="1" w:styleId="msoins0">
    <w:name w:val="msoins"/>
    <w:basedOn w:val="a0"/>
  </w:style>
  <w:style w:type="paragraph" w:customStyle="1" w:styleId="Reference">
    <w:name w:val="Reference"/>
    <w:basedOn w:val="a"/>
    <w:pPr>
      <w:tabs>
        <w:tab w:val="left" w:pos="851"/>
      </w:tabs>
      <w:overflowPunct/>
      <w:autoSpaceDE/>
      <w:autoSpaceDN/>
      <w:adjustRightInd/>
      <w:ind w:left="851" w:hanging="851"/>
    </w:pPr>
    <w:rPr>
      <w:rFonts w:eastAsia="宋体"/>
    </w:r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overflowPunct/>
      <w:autoSpaceDE/>
      <w:autoSpaceDN/>
      <w:adjustRightInd/>
      <w:spacing w:after="120"/>
      <w:ind w:left="1440" w:right="1440"/>
    </w:pPr>
    <w:rPr>
      <w:rFonts w:eastAsia="宋体"/>
    </w:rPr>
  </w:style>
  <w:style w:type="paragraph" w:styleId="af1">
    <w:name w:val="Body Text"/>
    <w:basedOn w:val="a"/>
    <w:link w:val="Char2"/>
    <w:rsid w:val="00886CBD"/>
    <w:pPr>
      <w:overflowPunct/>
      <w:autoSpaceDE/>
      <w:autoSpaceDN/>
      <w:adjustRightInd/>
      <w:spacing w:after="120"/>
    </w:pPr>
    <w:rPr>
      <w:rFonts w:eastAsia="宋体"/>
    </w:r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overflowPunct/>
      <w:autoSpaceDE/>
      <w:autoSpaceDN/>
      <w:adjustRightInd/>
      <w:spacing w:after="120" w:line="480" w:lineRule="auto"/>
    </w:pPr>
    <w:rPr>
      <w:rFonts w:eastAsia="宋体"/>
    </w:r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overflowPunct/>
      <w:autoSpaceDE/>
      <w:autoSpaceDN/>
      <w:adjustRightInd/>
      <w:spacing w:after="120"/>
    </w:pPr>
    <w:rPr>
      <w:rFonts w:eastAsia="宋体"/>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overflowPunct/>
      <w:autoSpaceDE/>
      <w:autoSpaceDN/>
      <w:adjustRightInd/>
      <w:spacing w:after="120"/>
      <w:ind w:left="283"/>
    </w:pPr>
    <w:rPr>
      <w:rFonts w:eastAsia="宋体"/>
    </w:r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overflowPunct/>
      <w:autoSpaceDE/>
      <w:autoSpaceDN/>
      <w:adjustRightInd/>
      <w:spacing w:after="120" w:line="480" w:lineRule="auto"/>
      <w:ind w:left="283"/>
    </w:pPr>
    <w:rPr>
      <w:rFonts w:eastAsia="宋体"/>
    </w:r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overflowPunct/>
      <w:autoSpaceDE/>
      <w:autoSpaceDN/>
      <w:adjustRightInd/>
      <w:spacing w:after="120"/>
      <w:ind w:left="283"/>
    </w:pPr>
    <w:rPr>
      <w:rFonts w:eastAsia="宋体"/>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overflowPunct/>
      <w:autoSpaceDE/>
      <w:autoSpaceDN/>
      <w:adjustRightInd/>
      <w:ind w:left="4252"/>
    </w:pPr>
    <w:rPr>
      <w:rFonts w:eastAsia="宋体"/>
    </w:r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pPr>
      <w:overflowPunct/>
      <w:autoSpaceDE/>
      <w:autoSpaceDN/>
      <w:adjustRightInd/>
    </w:pPr>
    <w:rPr>
      <w:rFonts w:eastAsia="宋体"/>
    </w:rPr>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pPr>
      <w:overflowPunct/>
      <w:autoSpaceDE/>
      <w:autoSpaceDN/>
      <w:adjustRightInd/>
    </w:pPr>
    <w:rPr>
      <w:rFonts w:ascii="Segoe UI" w:eastAsia="宋体"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pPr>
      <w:overflowPunct/>
      <w:autoSpaceDE/>
      <w:autoSpaceDN/>
      <w:adjustRightInd/>
    </w:pPr>
    <w:rPr>
      <w:rFonts w:eastAsia="宋体"/>
    </w:rPr>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pPr>
      <w:overflowPunct/>
      <w:autoSpaceDE/>
      <w:autoSpaceDN/>
      <w:adjustRightInd/>
    </w:pPr>
    <w:rPr>
      <w:rFonts w:eastAsia="宋体"/>
    </w:rPr>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overflowPunct/>
      <w:autoSpaceDE/>
      <w:autoSpaceDN/>
      <w:adjustRightInd/>
      <w:ind w:left="2880"/>
    </w:pPr>
    <w:rPr>
      <w:rFonts w:ascii="Calibri Light" w:hAnsi="Calibri Light"/>
      <w:sz w:val="24"/>
      <w:szCs w:val="24"/>
    </w:rPr>
  </w:style>
  <w:style w:type="paragraph" w:styleId="afc">
    <w:name w:val="envelope return"/>
    <w:basedOn w:val="a"/>
    <w:rsid w:val="00886CBD"/>
    <w:pPr>
      <w:overflowPunct/>
      <w:autoSpaceDE/>
      <w:autoSpaceDN/>
      <w:adjustRightInd/>
    </w:pPr>
    <w:rPr>
      <w:rFonts w:ascii="Calibri Light" w:hAnsi="Calibri Light"/>
    </w:rPr>
  </w:style>
  <w:style w:type="paragraph" w:styleId="HTML">
    <w:name w:val="HTML Address"/>
    <w:basedOn w:val="a"/>
    <w:link w:val="HTMLChar"/>
    <w:rsid w:val="00886CBD"/>
    <w:pPr>
      <w:overflowPunct/>
      <w:autoSpaceDE/>
      <w:autoSpaceDN/>
      <w:adjustRightInd/>
    </w:pPr>
    <w:rPr>
      <w:rFonts w:eastAsia="宋体"/>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pPr>
      <w:overflowPunct/>
      <w:autoSpaceDE/>
      <w:autoSpaceDN/>
      <w:adjustRightInd/>
    </w:pPr>
    <w:rPr>
      <w:rFonts w:ascii="Courier New" w:eastAsia="宋体"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overflowPunct/>
      <w:autoSpaceDE/>
      <w:autoSpaceDN/>
      <w:adjustRightInd/>
      <w:ind w:left="600" w:hanging="200"/>
    </w:pPr>
    <w:rPr>
      <w:rFonts w:eastAsia="宋体"/>
    </w:rPr>
  </w:style>
  <w:style w:type="paragraph" w:styleId="44">
    <w:name w:val="index 4"/>
    <w:basedOn w:val="a"/>
    <w:next w:val="a"/>
    <w:rsid w:val="00886CBD"/>
    <w:pPr>
      <w:overflowPunct/>
      <w:autoSpaceDE/>
      <w:autoSpaceDN/>
      <w:adjustRightInd/>
      <w:ind w:left="800" w:hanging="200"/>
    </w:pPr>
    <w:rPr>
      <w:rFonts w:eastAsia="宋体"/>
    </w:rPr>
  </w:style>
  <w:style w:type="paragraph" w:styleId="54">
    <w:name w:val="index 5"/>
    <w:basedOn w:val="a"/>
    <w:next w:val="a"/>
    <w:rsid w:val="00886CBD"/>
    <w:pPr>
      <w:overflowPunct/>
      <w:autoSpaceDE/>
      <w:autoSpaceDN/>
      <w:adjustRightInd/>
      <w:ind w:left="1000" w:hanging="200"/>
    </w:pPr>
    <w:rPr>
      <w:rFonts w:eastAsia="宋体"/>
    </w:rPr>
  </w:style>
  <w:style w:type="paragraph" w:styleId="61">
    <w:name w:val="index 6"/>
    <w:basedOn w:val="a"/>
    <w:next w:val="a"/>
    <w:rsid w:val="00886CBD"/>
    <w:pPr>
      <w:overflowPunct/>
      <w:autoSpaceDE/>
      <w:autoSpaceDN/>
      <w:adjustRightInd/>
      <w:ind w:left="1200" w:hanging="200"/>
    </w:pPr>
    <w:rPr>
      <w:rFonts w:eastAsia="宋体"/>
    </w:rPr>
  </w:style>
  <w:style w:type="paragraph" w:styleId="71">
    <w:name w:val="index 7"/>
    <w:basedOn w:val="a"/>
    <w:next w:val="a"/>
    <w:rsid w:val="00886CBD"/>
    <w:pPr>
      <w:overflowPunct/>
      <w:autoSpaceDE/>
      <w:autoSpaceDN/>
      <w:adjustRightInd/>
      <w:ind w:left="1400" w:hanging="200"/>
    </w:pPr>
    <w:rPr>
      <w:rFonts w:eastAsia="宋体"/>
    </w:rPr>
  </w:style>
  <w:style w:type="paragraph" w:styleId="81">
    <w:name w:val="index 8"/>
    <w:basedOn w:val="a"/>
    <w:next w:val="a"/>
    <w:rsid w:val="00886CBD"/>
    <w:pPr>
      <w:overflowPunct/>
      <w:autoSpaceDE/>
      <w:autoSpaceDN/>
      <w:adjustRightInd/>
      <w:ind w:left="1600" w:hanging="200"/>
    </w:pPr>
    <w:rPr>
      <w:rFonts w:eastAsia="宋体"/>
    </w:rPr>
  </w:style>
  <w:style w:type="paragraph" w:styleId="91">
    <w:name w:val="index 9"/>
    <w:basedOn w:val="a"/>
    <w:next w:val="a"/>
    <w:rsid w:val="00886CBD"/>
    <w:pPr>
      <w:overflowPunct/>
      <w:autoSpaceDE/>
      <w:autoSpaceDN/>
      <w:adjustRightInd/>
      <w:ind w:left="1800" w:hanging="200"/>
    </w:pPr>
    <w:rPr>
      <w:rFonts w:eastAsia="宋体"/>
    </w:rPr>
  </w:style>
  <w:style w:type="paragraph" w:styleId="afd">
    <w:name w:val="index heading"/>
    <w:basedOn w:val="a"/>
    <w:next w:val="11"/>
    <w:rsid w:val="00886CBD"/>
    <w:pPr>
      <w:overflowPunct/>
      <w:autoSpaceDE/>
      <w:autoSpaceDN/>
      <w:adjustRightInd/>
    </w:pPr>
    <w:rPr>
      <w:rFonts w:ascii="Calibri Light"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overflowPunct/>
      <w:autoSpaceDE/>
      <w:autoSpaceDN/>
      <w:adjustRightInd/>
      <w:spacing w:before="360" w:after="360"/>
      <w:ind w:left="864" w:right="864"/>
      <w:jc w:val="center"/>
    </w:pPr>
    <w:rPr>
      <w:rFonts w:eastAsia="宋体"/>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overflowPunct/>
      <w:autoSpaceDE/>
      <w:autoSpaceDN/>
      <w:adjustRightInd/>
      <w:spacing w:after="120"/>
      <w:ind w:left="283"/>
      <w:contextualSpacing/>
    </w:pPr>
    <w:rPr>
      <w:rFonts w:eastAsia="宋体"/>
    </w:rPr>
  </w:style>
  <w:style w:type="paragraph" w:styleId="28">
    <w:name w:val="List Continue 2"/>
    <w:basedOn w:val="a"/>
    <w:rsid w:val="00886CBD"/>
    <w:pPr>
      <w:overflowPunct/>
      <w:autoSpaceDE/>
      <w:autoSpaceDN/>
      <w:adjustRightInd/>
      <w:spacing w:after="120"/>
      <w:ind w:left="566"/>
      <w:contextualSpacing/>
    </w:pPr>
    <w:rPr>
      <w:rFonts w:eastAsia="宋体"/>
    </w:rPr>
  </w:style>
  <w:style w:type="paragraph" w:styleId="37">
    <w:name w:val="List Continue 3"/>
    <w:basedOn w:val="a"/>
    <w:rsid w:val="00886CBD"/>
    <w:pPr>
      <w:overflowPunct/>
      <w:autoSpaceDE/>
      <w:autoSpaceDN/>
      <w:adjustRightInd/>
      <w:spacing w:after="120"/>
      <w:ind w:left="849"/>
      <w:contextualSpacing/>
    </w:pPr>
    <w:rPr>
      <w:rFonts w:eastAsia="宋体"/>
    </w:rPr>
  </w:style>
  <w:style w:type="paragraph" w:styleId="45">
    <w:name w:val="List Continue 4"/>
    <w:basedOn w:val="a"/>
    <w:rsid w:val="00886CBD"/>
    <w:pPr>
      <w:overflowPunct/>
      <w:autoSpaceDE/>
      <w:autoSpaceDN/>
      <w:adjustRightInd/>
      <w:spacing w:after="120"/>
      <w:ind w:left="1132"/>
      <w:contextualSpacing/>
    </w:pPr>
    <w:rPr>
      <w:rFonts w:eastAsia="宋体"/>
    </w:rPr>
  </w:style>
  <w:style w:type="paragraph" w:styleId="55">
    <w:name w:val="List Continue 5"/>
    <w:basedOn w:val="a"/>
    <w:rsid w:val="00886CBD"/>
    <w:pPr>
      <w:overflowPunct/>
      <w:autoSpaceDE/>
      <w:autoSpaceDN/>
      <w:adjustRightInd/>
      <w:spacing w:after="120"/>
      <w:ind w:left="1415"/>
      <w:contextualSpacing/>
    </w:pPr>
    <w:rPr>
      <w:rFonts w:eastAsia="宋体"/>
    </w:rPr>
  </w:style>
  <w:style w:type="paragraph" w:styleId="3">
    <w:name w:val="List Number 3"/>
    <w:basedOn w:val="a"/>
    <w:rsid w:val="00886CBD"/>
    <w:pPr>
      <w:numPr>
        <w:numId w:val="20"/>
      </w:numPr>
      <w:overflowPunct/>
      <w:autoSpaceDE/>
      <w:autoSpaceDN/>
      <w:adjustRightInd/>
      <w:contextualSpacing/>
    </w:pPr>
    <w:rPr>
      <w:rFonts w:eastAsia="宋体"/>
    </w:rPr>
  </w:style>
  <w:style w:type="paragraph" w:styleId="4">
    <w:name w:val="List Number 4"/>
    <w:basedOn w:val="a"/>
    <w:rsid w:val="00886CBD"/>
    <w:pPr>
      <w:numPr>
        <w:numId w:val="21"/>
      </w:numPr>
      <w:overflowPunct/>
      <w:autoSpaceDE/>
      <w:autoSpaceDN/>
      <w:adjustRightInd/>
      <w:contextualSpacing/>
    </w:pPr>
    <w:rPr>
      <w:rFonts w:eastAsia="宋体"/>
    </w:rPr>
  </w:style>
  <w:style w:type="paragraph" w:styleId="5">
    <w:name w:val="List Number 5"/>
    <w:basedOn w:val="a"/>
    <w:rsid w:val="00886CBD"/>
    <w:pPr>
      <w:numPr>
        <w:numId w:val="22"/>
      </w:numPr>
      <w:overflowPunct/>
      <w:autoSpaceDE/>
      <w:autoSpaceDN/>
      <w:adjustRightInd/>
      <w:contextualSpacing/>
    </w:pPr>
    <w:rPr>
      <w:rFonts w:eastAsia="宋体"/>
    </w:rPr>
  </w:style>
  <w:style w:type="paragraph" w:styleId="aff0">
    <w:name w:val="List Paragraph"/>
    <w:basedOn w:val="a"/>
    <w:uiPriority w:val="34"/>
    <w:qFormat/>
    <w:rsid w:val="00886CBD"/>
    <w:pPr>
      <w:overflowPunct/>
      <w:autoSpaceDE/>
      <w:autoSpaceDN/>
      <w:adjustRightInd/>
      <w:ind w:left="720"/>
    </w:pPr>
    <w:rPr>
      <w:rFonts w:eastAsia="宋体"/>
    </w:r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pPr>
      <w:overflowPunct/>
      <w:autoSpaceDE/>
      <w:autoSpaceDN/>
      <w:adjustRightInd/>
    </w:pPr>
    <w:rPr>
      <w:rFonts w:eastAsia="宋体"/>
      <w:sz w:val="24"/>
      <w:szCs w:val="24"/>
    </w:rPr>
  </w:style>
  <w:style w:type="paragraph" w:styleId="aff5">
    <w:name w:val="Normal Indent"/>
    <w:basedOn w:val="a"/>
    <w:rsid w:val="00886CBD"/>
    <w:pPr>
      <w:overflowPunct/>
      <w:autoSpaceDE/>
      <w:autoSpaceDN/>
      <w:adjustRightInd/>
      <w:ind w:left="720"/>
    </w:pPr>
    <w:rPr>
      <w:rFonts w:eastAsia="宋体"/>
    </w:rPr>
  </w:style>
  <w:style w:type="paragraph" w:styleId="aff6">
    <w:name w:val="Note Heading"/>
    <w:basedOn w:val="a"/>
    <w:next w:val="a"/>
    <w:link w:val="Chare"/>
    <w:rsid w:val="00886CBD"/>
    <w:pPr>
      <w:overflowPunct/>
      <w:autoSpaceDE/>
      <w:autoSpaceDN/>
      <w:adjustRightInd/>
    </w:pPr>
    <w:rPr>
      <w:rFonts w:eastAsia="宋体"/>
    </w:rPr>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pPr>
      <w:overflowPunct/>
      <w:autoSpaceDE/>
      <w:autoSpaceDN/>
      <w:adjustRightInd/>
    </w:pPr>
    <w:rPr>
      <w:rFonts w:ascii="Courier New" w:eastAsia="宋体"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overflowPunct/>
      <w:autoSpaceDE/>
      <w:autoSpaceDN/>
      <w:adjustRightInd/>
      <w:spacing w:before="200" w:after="160"/>
      <w:ind w:left="864" w:right="864"/>
      <w:jc w:val="center"/>
    </w:pPr>
    <w:rPr>
      <w:rFonts w:eastAsia="宋体"/>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pPr>
      <w:overflowPunct/>
      <w:autoSpaceDE/>
      <w:autoSpaceDN/>
      <w:adjustRightInd/>
    </w:pPr>
    <w:rPr>
      <w:rFonts w:eastAsia="宋体"/>
    </w:rPr>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overflowPunct/>
      <w:autoSpaceDE/>
      <w:autoSpaceDN/>
      <w:adjustRightInd/>
      <w:ind w:left="4252"/>
    </w:pPr>
    <w:rPr>
      <w:rFonts w:eastAsia="宋体"/>
    </w:r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overflowPunct/>
      <w:autoSpaceDE/>
      <w:autoSpaceDN/>
      <w:adjustRightInd/>
      <w:spacing w:after="60"/>
      <w:jc w:val="center"/>
      <w:outlineLvl w:val="1"/>
    </w:pPr>
    <w:rPr>
      <w:rFonts w:ascii="Calibri Light"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overflowPunct/>
      <w:autoSpaceDE/>
      <w:autoSpaceDN/>
      <w:adjustRightInd/>
      <w:ind w:left="200" w:hanging="200"/>
    </w:pPr>
    <w:rPr>
      <w:rFonts w:eastAsia="宋体"/>
    </w:rPr>
  </w:style>
  <w:style w:type="paragraph" w:styleId="affd">
    <w:name w:val="table of figures"/>
    <w:basedOn w:val="a"/>
    <w:next w:val="a"/>
    <w:rsid w:val="00886CBD"/>
    <w:pPr>
      <w:overflowPunct/>
      <w:autoSpaceDE/>
      <w:autoSpaceDN/>
      <w:adjustRightInd/>
    </w:pPr>
    <w:rPr>
      <w:rFonts w:eastAsia="宋体"/>
    </w:rPr>
  </w:style>
  <w:style w:type="paragraph" w:styleId="affe">
    <w:name w:val="Title"/>
    <w:basedOn w:val="a"/>
    <w:next w:val="a"/>
    <w:link w:val="Charf4"/>
    <w:qFormat/>
    <w:rsid w:val="00886CBD"/>
    <w:pPr>
      <w:overflowPunct/>
      <w:autoSpaceDE/>
      <w:autoSpaceDN/>
      <w:adjustRightInd/>
      <w:spacing w:before="240" w:after="60"/>
      <w:jc w:val="center"/>
      <w:outlineLvl w:val="0"/>
    </w:pPr>
    <w:rPr>
      <w:rFonts w:ascii="Calibri Light"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overflowPunct/>
      <w:autoSpaceDE/>
      <w:autoSpaceDN/>
      <w:adjustRightInd/>
      <w:spacing w:before="120"/>
    </w:pPr>
    <w:rPr>
      <w:rFonts w:ascii="Calibri Light"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ALChar">
    <w:name w:val="TAL Char"/>
    <w:link w:val="TAL"/>
    <w:qFormat/>
    <w:locked/>
    <w:rsid w:val="007460CA"/>
    <w:rPr>
      <w:rFonts w:ascii="Arial" w:hAnsi="Arial"/>
      <w:sz w:val="18"/>
      <w:lang w:eastAsia="en-US"/>
    </w:rPr>
  </w:style>
  <w:style w:type="character" w:customStyle="1" w:styleId="TAHChar">
    <w:name w:val="TAH Char"/>
    <w:link w:val="TAH"/>
    <w:qFormat/>
    <w:locked/>
    <w:rsid w:val="007460CA"/>
    <w:rPr>
      <w:rFonts w:ascii="Arial" w:hAnsi="Arial"/>
      <w:b/>
      <w:sz w:val="18"/>
      <w:lang w:eastAsia="en-US"/>
    </w:rPr>
  </w:style>
  <w:style w:type="character" w:customStyle="1" w:styleId="THChar">
    <w:name w:val="TH Char"/>
    <w:link w:val="TH"/>
    <w:qFormat/>
    <w:rsid w:val="00E73C0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17019690">
      <w:bodyDiv w:val="1"/>
      <w:marLeft w:val="0"/>
      <w:marRight w:val="0"/>
      <w:marTop w:val="0"/>
      <w:marBottom w:val="0"/>
      <w:divBdr>
        <w:top w:val="none" w:sz="0" w:space="0" w:color="auto"/>
        <w:left w:val="none" w:sz="0" w:space="0" w:color="auto"/>
        <w:bottom w:val="none" w:sz="0" w:space="0" w:color="auto"/>
        <w:right w:val="none" w:sz="0" w:space="0" w:color="auto"/>
      </w:divBdr>
    </w:div>
    <w:div w:id="142476131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215</TotalTime>
  <Pages>1</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4741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10</cp:revision>
  <cp:lastPrinted>1899-12-31T23:00:00Z</cp:lastPrinted>
  <dcterms:created xsi:type="dcterms:W3CDTF">2025-03-27T02:54:00Z</dcterms:created>
  <dcterms:modified xsi:type="dcterms:W3CDTF">2025-03-28T01:28:00Z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